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комунальне підприємство Новгород-Сіверської міської ради Чернігівської </w:t>
      </w:r>
      <w:proofErr w:type="gramStart"/>
      <w:r w:rsidR="0074473D" w:rsidRPr="008D3511">
        <w:rPr>
          <w:rStyle w:val="fontstyle01"/>
          <w:color w:val="auto"/>
          <w:sz w:val="28"/>
          <w:szCs w:val="28"/>
          <w:lang w:val="uk-UA"/>
        </w:rPr>
        <w:t>області  «</w:t>
      </w:r>
      <w:proofErr w:type="gramEnd"/>
      <w:r w:rsidR="00D80377">
        <w:rPr>
          <w:rStyle w:val="fontstyle01"/>
          <w:color w:val="auto"/>
          <w:sz w:val="28"/>
          <w:szCs w:val="28"/>
          <w:lang w:val="uk-UA"/>
        </w:rPr>
        <w:t>Троїцьке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>» на плановий період  січень-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 </w:t>
      </w:r>
      <w:r w:rsidR="00A16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r w:rsidR="00E35E71">
        <w:rPr>
          <w:rStyle w:val="fontstyle01"/>
          <w:b w:val="0"/>
          <w:color w:val="auto"/>
          <w:sz w:val="28"/>
          <w:szCs w:val="28"/>
          <w:lang w:val="uk-UA"/>
        </w:rPr>
        <w:t>Троїцьке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тарифи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були встановлені до проведення  реорган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  комунальних підприємст</w:t>
      </w:r>
      <w:r w:rsidR="0061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затверджувалися  виконавчими  коміт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1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тами відповідних сільських рад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не переглядалися з 2018 року. Діючі тарифи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даний час не забезпечують покриття  навіть  50%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Pr="00DC6786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Зокрема</w:t>
      </w:r>
      <w:proofErr w:type="spellEnd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питома</w:t>
      </w:r>
      <w:proofErr w:type="spellEnd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вага </w:t>
      </w:r>
      <w:proofErr w:type="spellStart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заробітно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ї</w:t>
      </w:r>
      <w:proofErr w:type="spellEnd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плати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та єдиного соціального внеску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загальній</w:t>
      </w:r>
      <w:proofErr w:type="spellEnd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сумі</w:t>
      </w:r>
      <w:proofErr w:type="spellEnd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витрат</w:t>
      </w:r>
      <w:proofErr w:type="spellEnd"/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становить 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47,4%. З 2018 року  мінімальна заробітна плата  зросла на 2777,00 грн. з   3723,00 грн до 6500,00 грн., або на 74,6 %.</w:t>
      </w:r>
      <w:r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16E9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Питома вага  електричної енергії в  загальній сумі витрат становить 25,96%. 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на 1,81 грн.</w:t>
      </w:r>
      <w:r w:rsidR="004C7625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з 2,21 грн. за 1</w:t>
      </w:r>
      <w:r w:rsidR="002122F0" w:rsidRPr="00DC67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кВт/год до 4,02 грн., або на 81,9 %. </w:t>
      </w:r>
    </w:p>
    <w:p w:rsid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E87" w:rsidRPr="000C6A53" w:rsidRDefault="000C6A53" w:rsidP="00E35E7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КП «</w:t>
      </w:r>
      <w:r w:rsidR="00E35E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Троїцьке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A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202</w:t>
      </w:r>
      <w:r w:rsidR="00555B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нових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тарифів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1E87" w:rsidRPr="000C6A53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всіх споживачів послуг  складає -  </w:t>
      </w:r>
      <w:r w:rsidR="00E3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3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29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925713" w:rsidRDefault="00925713" w:rsidP="00F80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AE8" w:rsidRDefault="00F80AE8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  <w:r>
        <w:rPr>
          <w:rStyle w:val="a4"/>
          <w:rFonts w:ascii="Nunito Sans" w:hAnsi="Nunito Sans"/>
          <w:sz w:val="28"/>
          <w:szCs w:val="28"/>
          <w:shd w:val="clear" w:color="auto" w:fill="FFFFFF"/>
        </w:rPr>
        <w:t>Структура планового тарифу</w:t>
      </w:r>
      <w:r w:rsidR="00925713"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послуги</w:t>
      </w:r>
      <w:proofErr w:type="spellEnd"/>
    </w:p>
    <w:p w:rsidR="00E35E71" w:rsidRDefault="00925713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  <w:proofErr w:type="spellStart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централізованого</w:t>
      </w:r>
      <w:proofErr w:type="spellEnd"/>
      <w:r w:rsidR="00F80AE8"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F80AE8"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  <w:t xml:space="preserve">водопостачання </w:t>
      </w:r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на</w:t>
      </w:r>
      <w:proofErr w:type="gramEnd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2022 </w:t>
      </w:r>
      <w:proofErr w:type="spellStart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рік</w:t>
      </w:r>
      <w:proofErr w:type="spellEnd"/>
    </w:p>
    <w:p w:rsidR="00E35E71" w:rsidRDefault="00E35E71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6269"/>
        <w:gridCol w:w="1417"/>
        <w:gridCol w:w="1417"/>
      </w:tblGrid>
      <w:tr w:rsidR="00E35E71" w:rsidRPr="009F7C98" w:rsidTr="00D5766E">
        <w:tc>
          <w:tcPr>
            <w:tcW w:w="814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269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Статті витрат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Планові витрати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всього, грн.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Планові витрати  грн./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1.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Виробнича собівартість, у т. ч.: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555489,58</w:t>
            </w:r>
          </w:p>
        </w:tc>
        <w:tc>
          <w:tcPr>
            <w:tcW w:w="1417" w:type="dxa"/>
          </w:tcPr>
          <w:p w:rsidR="00E35E71" w:rsidRPr="009F7C98" w:rsidRDefault="00BA252F" w:rsidP="00BA2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15,76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1.1.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Прямі матеріальні витрати, у т. ч.: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246676,00</w:t>
            </w:r>
          </w:p>
        </w:tc>
        <w:tc>
          <w:tcPr>
            <w:tcW w:w="1417" w:type="dxa"/>
          </w:tcPr>
          <w:p w:rsidR="00E35E71" w:rsidRPr="009F7C98" w:rsidRDefault="00BA252F" w:rsidP="00BA2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7,00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1.1.1.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витрати, пов'язані з використанням електроенергії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210684,00</w:t>
            </w:r>
          </w:p>
        </w:tc>
        <w:tc>
          <w:tcPr>
            <w:tcW w:w="1417" w:type="dxa"/>
          </w:tcPr>
          <w:p w:rsidR="00E35E71" w:rsidRPr="009F7C98" w:rsidRDefault="00BA252F" w:rsidP="00BA25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5,98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1.1.2.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>
              <w:rPr>
                <w:rStyle w:val="fontstyle21"/>
              </w:rPr>
              <w:t>інші матеріальні витрати</w:t>
            </w:r>
          </w:p>
        </w:tc>
        <w:tc>
          <w:tcPr>
            <w:tcW w:w="1417" w:type="dxa"/>
            <w:vAlign w:val="center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35992,00</w:t>
            </w:r>
          </w:p>
        </w:tc>
        <w:tc>
          <w:tcPr>
            <w:tcW w:w="1417" w:type="dxa"/>
          </w:tcPr>
          <w:p w:rsidR="00E35E71" w:rsidRPr="009F7C98" w:rsidRDefault="00BA252F" w:rsidP="00BA25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1,02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1.2.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Прямі витрати на оплату праці: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117900,00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3,34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1.2.1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>заробітна плата та інші виплати працівникам, безпосередньо залученим до</w:t>
            </w:r>
            <w:r w:rsidRPr="009F7C98">
              <w:t xml:space="preserve"> </w:t>
            </w:r>
            <w:r w:rsidRPr="009F7C98">
              <w:rPr>
                <w:rStyle w:val="fontstyle21"/>
                <w:color w:val="auto"/>
              </w:rPr>
              <w:t>технологічного процесу централізованого водопостачання</w:t>
            </w:r>
          </w:p>
        </w:tc>
        <w:tc>
          <w:tcPr>
            <w:tcW w:w="1417" w:type="dxa"/>
          </w:tcPr>
          <w:p w:rsidR="00F47A5A" w:rsidRDefault="00F47A5A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117900,00</w:t>
            </w:r>
          </w:p>
        </w:tc>
        <w:tc>
          <w:tcPr>
            <w:tcW w:w="1417" w:type="dxa"/>
          </w:tcPr>
          <w:p w:rsidR="00F47A5A" w:rsidRDefault="00F47A5A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3,34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>1.3</w:t>
            </w:r>
            <w:r w:rsidRPr="009F7C98">
              <w:rPr>
                <w:rStyle w:val="fontstyle21"/>
                <w:color w:val="auto"/>
              </w:rPr>
              <w:t xml:space="preserve">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Інші прямі витрати, у т. ч.: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89076,08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2,53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1.3.1.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відрахування на загальнообов'язкове державне соціальне страхування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25938,00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0,73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1.3.2. </w:t>
            </w:r>
          </w:p>
        </w:tc>
        <w:tc>
          <w:tcPr>
            <w:tcW w:w="6269" w:type="dxa"/>
          </w:tcPr>
          <w:p w:rsidR="00E35E71" w:rsidRPr="009F7C98" w:rsidRDefault="00E35E71" w:rsidP="00E85F00">
            <w:pPr>
              <w:rPr>
                <w:rFonts w:ascii="Times New Roman" w:hAnsi="Times New Roman" w:cs="Times New Roman"/>
              </w:rPr>
            </w:pPr>
            <w:r w:rsidRPr="009F7C98">
              <w:rPr>
                <w:rFonts w:ascii="Times New Roman" w:hAnsi="Times New Roman" w:cs="Times New Roman"/>
              </w:rPr>
              <w:t>Амортизація основних засобів, інших необоротних активів  і нематеріальних активів виробничого призначення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63138,08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1,80</w:t>
            </w:r>
          </w:p>
        </w:tc>
      </w:tr>
      <w:tr w:rsidR="00E35E71" w:rsidRPr="00BA252F" w:rsidTr="00D5766E">
        <w:tc>
          <w:tcPr>
            <w:tcW w:w="814" w:type="dxa"/>
            <w:vAlign w:val="center"/>
          </w:tcPr>
          <w:p w:rsidR="00E35E71" w:rsidRPr="00BA252F" w:rsidRDefault="00E35E71" w:rsidP="00E85F00">
            <w:pPr>
              <w:rPr>
                <w:b/>
              </w:rPr>
            </w:pPr>
            <w:r w:rsidRPr="00BA252F">
              <w:rPr>
                <w:rStyle w:val="fontstyle21"/>
                <w:b/>
                <w:color w:val="auto"/>
              </w:rPr>
              <w:t xml:space="preserve">1.4. </w:t>
            </w:r>
          </w:p>
        </w:tc>
        <w:tc>
          <w:tcPr>
            <w:tcW w:w="6269" w:type="dxa"/>
            <w:vAlign w:val="center"/>
          </w:tcPr>
          <w:p w:rsidR="00E35E71" w:rsidRPr="00BA252F" w:rsidRDefault="00E35E71" w:rsidP="00E85F00">
            <w:pPr>
              <w:rPr>
                <w:b/>
              </w:rPr>
            </w:pPr>
            <w:r w:rsidRPr="00BA252F">
              <w:rPr>
                <w:rStyle w:val="fontstyle01"/>
                <w:color w:val="auto"/>
              </w:rPr>
              <w:t>Змінні загальновиробничі та постійні розподілені загальновиробничі витрати:</w:t>
            </w:r>
          </w:p>
        </w:tc>
        <w:tc>
          <w:tcPr>
            <w:tcW w:w="1417" w:type="dxa"/>
          </w:tcPr>
          <w:p w:rsidR="00E35E71" w:rsidRPr="00BA252F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52F">
              <w:rPr>
                <w:rFonts w:ascii="Times New Roman" w:hAnsi="Times New Roman" w:cs="Times New Roman"/>
                <w:b/>
                <w:sz w:val="24"/>
                <w:szCs w:val="28"/>
              </w:rPr>
              <w:t>101837,5</w:t>
            </w:r>
          </w:p>
        </w:tc>
        <w:tc>
          <w:tcPr>
            <w:tcW w:w="1417" w:type="dxa"/>
          </w:tcPr>
          <w:p w:rsidR="00E35E71" w:rsidRPr="00BA252F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52F">
              <w:rPr>
                <w:rFonts w:ascii="Times New Roman" w:hAnsi="Times New Roman" w:cs="Times New Roman"/>
                <w:b/>
                <w:sz w:val="24"/>
                <w:szCs w:val="28"/>
              </w:rPr>
              <w:t>2,89</w:t>
            </w:r>
          </w:p>
        </w:tc>
      </w:tr>
      <w:tr w:rsidR="00E35E71" w:rsidRPr="009F7C98" w:rsidTr="00D5766E">
        <w:trPr>
          <w:trHeight w:val="572"/>
        </w:trPr>
        <w:tc>
          <w:tcPr>
            <w:tcW w:w="814" w:type="dxa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 xml:space="preserve">1.4.1. </w:t>
            </w:r>
          </w:p>
        </w:tc>
        <w:tc>
          <w:tcPr>
            <w:tcW w:w="6269" w:type="dxa"/>
          </w:tcPr>
          <w:p w:rsidR="00E35E71" w:rsidRPr="009F7C98" w:rsidRDefault="00E35E71" w:rsidP="00E85F00">
            <w:r w:rsidRPr="009F7C98">
              <w:rPr>
                <w:rStyle w:val="fontstyle21"/>
                <w:color w:val="auto"/>
              </w:rPr>
              <w:t>витрати на утримання, експлуатацію, ремонт, основних засобів та інших</w:t>
            </w:r>
            <w:r w:rsidRPr="009F7C98">
              <w:rPr>
                <w:rStyle w:val="fontstyle21"/>
                <w:color w:val="auto"/>
                <w:lang w:val="ru-RU"/>
              </w:rPr>
              <w:t xml:space="preserve"> </w:t>
            </w:r>
            <w:r w:rsidRPr="009F7C98">
              <w:rPr>
                <w:rStyle w:val="fontstyle21"/>
                <w:color w:val="auto"/>
              </w:rPr>
              <w:t>необоротних активів загальногосподарського використання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sz w:val="24"/>
                <w:szCs w:val="28"/>
              </w:rPr>
              <w:t>63200,00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1,79</w:t>
            </w:r>
          </w:p>
        </w:tc>
      </w:tr>
      <w:tr w:rsidR="00E35E71" w:rsidRPr="00F47A5A" w:rsidTr="00D5766E">
        <w:tc>
          <w:tcPr>
            <w:tcW w:w="814" w:type="dxa"/>
            <w:vAlign w:val="center"/>
          </w:tcPr>
          <w:p w:rsidR="00E35E71" w:rsidRPr="00F47A5A" w:rsidRDefault="00E35E71" w:rsidP="00BA252F">
            <w:r w:rsidRPr="00F47A5A">
              <w:rPr>
                <w:rStyle w:val="fontstyle21"/>
                <w:color w:val="auto"/>
              </w:rPr>
              <w:t>1.4.</w:t>
            </w:r>
            <w:r w:rsidR="00BA252F" w:rsidRPr="00F47A5A">
              <w:rPr>
                <w:rStyle w:val="fontstyle21"/>
                <w:color w:val="auto"/>
              </w:rPr>
              <w:t>2</w:t>
            </w:r>
            <w:r w:rsidRPr="00F47A5A">
              <w:rPr>
                <w:rStyle w:val="fontstyle21"/>
                <w:color w:val="auto"/>
              </w:rPr>
              <w:t xml:space="preserve">. </w:t>
            </w:r>
          </w:p>
        </w:tc>
        <w:tc>
          <w:tcPr>
            <w:tcW w:w="6269" w:type="dxa"/>
            <w:vAlign w:val="center"/>
          </w:tcPr>
          <w:p w:rsidR="00E35E71" w:rsidRPr="00F47A5A" w:rsidRDefault="00E35E71" w:rsidP="00E85F00">
            <w:r w:rsidRPr="00F47A5A">
              <w:rPr>
                <w:rStyle w:val="fontstyle21"/>
                <w:color w:val="auto"/>
              </w:rPr>
              <w:t xml:space="preserve">сплата податків, зборів </w:t>
            </w:r>
          </w:p>
        </w:tc>
        <w:tc>
          <w:tcPr>
            <w:tcW w:w="1417" w:type="dxa"/>
          </w:tcPr>
          <w:p w:rsidR="00E35E71" w:rsidRPr="00F47A5A" w:rsidRDefault="00E35E71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A5A">
              <w:rPr>
                <w:rFonts w:ascii="Times New Roman" w:hAnsi="Times New Roman" w:cs="Times New Roman"/>
                <w:sz w:val="24"/>
                <w:szCs w:val="28"/>
              </w:rPr>
              <w:t>18353,5</w:t>
            </w:r>
          </w:p>
        </w:tc>
        <w:tc>
          <w:tcPr>
            <w:tcW w:w="1417" w:type="dxa"/>
          </w:tcPr>
          <w:p w:rsidR="00E35E71" w:rsidRPr="00F47A5A" w:rsidRDefault="00BA252F" w:rsidP="00E85F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7A5A">
              <w:rPr>
                <w:rFonts w:ascii="Times New Roman" w:hAnsi="Times New Roman" w:cs="Times New Roman"/>
                <w:sz w:val="24"/>
                <w:szCs w:val="28"/>
              </w:rPr>
              <w:t>0,52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2.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Адміністративні витрати, у т. ч.: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158278,60</w:t>
            </w:r>
          </w:p>
        </w:tc>
        <w:tc>
          <w:tcPr>
            <w:tcW w:w="1417" w:type="dxa"/>
          </w:tcPr>
          <w:p w:rsidR="00E35E71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4,49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3.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Витрати зі збуту послуг, у </w:t>
            </w:r>
            <w:proofErr w:type="spellStart"/>
            <w:r w:rsidRPr="009F7C98">
              <w:rPr>
                <w:rStyle w:val="fontstyle01"/>
                <w:color w:val="auto"/>
              </w:rPr>
              <w:t>т.ч</w:t>
            </w:r>
            <w:proofErr w:type="spellEnd"/>
            <w:r w:rsidRPr="009F7C98">
              <w:rPr>
                <w:rStyle w:val="fontstyle01"/>
                <w:color w:val="auto"/>
              </w:rPr>
              <w:t xml:space="preserve">.: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1361,25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0,04</w:t>
            </w:r>
          </w:p>
        </w:tc>
      </w:tr>
      <w:tr w:rsidR="00E35E71" w:rsidRPr="009F7C98" w:rsidTr="00D5766E">
        <w:tc>
          <w:tcPr>
            <w:tcW w:w="814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4. </w:t>
            </w:r>
          </w:p>
        </w:tc>
        <w:tc>
          <w:tcPr>
            <w:tcW w:w="6269" w:type="dxa"/>
            <w:vAlign w:val="center"/>
          </w:tcPr>
          <w:p w:rsidR="00E35E71" w:rsidRPr="009F7C98" w:rsidRDefault="00E35E71" w:rsidP="00E85F00">
            <w:r w:rsidRPr="009F7C98">
              <w:rPr>
                <w:rStyle w:val="fontstyle01"/>
                <w:color w:val="auto"/>
              </w:rPr>
              <w:t xml:space="preserve">Повна собівартість </w:t>
            </w:r>
          </w:p>
        </w:tc>
        <w:tc>
          <w:tcPr>
            <w:tcW w:w="1417" w:type="dxa"/>
          </w:tcPr>
          <w:p w:rsidR="00E35E71" w:rsidRPr="009F7C98" w:rsidRDefault="00E35E71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15129,43</w:t>
            </w:r>
          </w:p>
        </w:tc>
        <w:tc>
          <w:tcPr>
            <w:tcW w:w="1417" w:type="dxa"/>
          </w:tcPr>
          <w:p w:rsidR="00E35E71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20,29</w:t>
            </w:r>
          </w:p>
        </w:tc>
      </w:tr>
      <w:tr w:rsidR="00BA252F" w:rsidRPr="009F7C98" w:rsidTr="00965AAD">
        <w:tc>
          <w:tcPr>
            <w:tcW w:w="814" w:type="dxa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5. </w:t>
            </w:r>
          </w:p>
        </w:tc>
        <w:tc>
          <w:tcPr>
            <w:tcW w:w="6269" w:type="dxa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Обсяг реалізації </w:t>
            </w:r>
          </w:p>
        </w:tc>
        <w:tc>
          <w:tcPr>
            <w:tcW w:w="2834" w:type="dxa"/>
            <w:gridSpan w:val="2"/>
          </w:tcPr>
          <w:p w:rsidR="00BA252F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35250,00</w:t>
            </w:r>
          </w:p>
        </w:tc>
      </w:tr>
      <w:tr w:rsidR="00BA252F" w:rsidRPr="009F7C98" w:rsidTr="002A5971">
        <w:trPr>
          <w:trHeight w:val="217"/>
        </w:trPr>
        <w:tc>
          <w:tcPr>
            <w:tcW w:w="814" w:type="dxa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6. </w:t>
            </w:r>
          </w:p>
        </w:tc>
        <w:tc>
          <w:tcPr>
            <w:tcW w:w="6269" w:type="dxa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>Рентабельність</w:t>
            </w:r>
          </w:p>
        </w:tc>
        <w:tc>
          <w:tcPr>
            <w:tcW w:w="2834" w:type="dxa"/>
            <w:gridSpan w:val="2"/>
          </w:tcPr>
          <w:p w:rsidR="00BA252F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</w:tr>
      <w:tr w:rsidR="00BA252F" w:rsidRPr="009F7C98" w:rsidTr="007B7F35">
        <w:tc>
          <w:tcPr>
            <w:tcW w:w="814" w:type="dxa"/>
            <w:vAlign w:val="center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7. </w:t>
            </w:r>
          </w:p>
        </w:tc>
        <w:tc>
          <w:tcPr>
            <w:tcW w:w="6269" w:type="dxa"/>
            <w:vAlign w:val="center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Розрахунковий прибуток </w:t>
            </w:r>
          </w:p>
        </w:tc>
        <w:tc>
          <w:tcPr>
            <w:tcW w:w="2834" w:type="dxa"/>
            <w:gridSpan w:val="2"/>
          </w:tcPr>
          <w:p w:rsidR="00BA252F" w:rsidRPr="009F7C98" w:rsidRDefault="00BA252F" w:rsidP="00E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C98">
              <w:rPr>
                <w:rFonts w:ascii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  <w:tr w:rsidR="00BA252F" w:rsidRPr="009F7C98" w:rsidTr="00260A07">
        <w:tc>
          <w:tcPr>
            <w:tcW w:w="814" w:type="dxa"/>
            <w:vAlign w:val="center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 xml:space="preserve">8. </w:t>
            </w:r>
          </w:p>
        </w:tc>
        <w:tc>
          <w:tcPr>
            <w:tcW w:w="6269" w:type="dxa"/>
            <w:vAlign w:val="center"/>
          </w:tcPr>
          <w:p w:rsidR="00BA252F" w:rsidRPr="009F7C98" w:rsidRDefault="00BA252F" w:rsidP="00E85F00">
            <w:r w:rsidRPr="009F7C98">
              <w:rPr>
                <w:rStyle w:val="fontstyle01"/>
                <w:color w:val="auto"/>
              </w:rPr>
              <w:t>Тариф на централізоване водопостачання (без ПДВ):</w:t>
            </w:r>
            <w:r w:rsidRPr="009F7C98">
              <w:rPr>
                <w:b/>
                <w:bCs/>
              </w:rPr>
              <w:br/>
            </w:r>
            <w:r w:rsidRPr="009F7C98">
              <w:rPr>
                <w:rStyle w:val="fontstyle21"/>
                <w:color w:val="auto"/>
              </w:rPr>
              <w:t xml:space="preserve">- для </w:t>
            </w:r>
            <w:r w:rsidRPr="009F7C98">
              <w:rPr>
                <w:rStyle w:val="fontstyle21"/>
                <w:color w:val="auto"/>
                <w:lang w:val="ru-RU"/>
              </w:rPr>
              <w:t xml:space="preserve"> </w:t>
            </w:r>
            <w:proofErr w:type="spellStart"/>
            <w:r w:rsidRPr="009F7C98">
              <w:rPr>
                <w:rStyle w:val="fontstyle21"/>
                <w:color w:val="auto"/>
                <w:lang w:val="ru-RU"/>
              </w:rPr>
              <w:t>вс</w:t>
            </w:r>
            <w:r w:rsidRPr="009F7C98">
              <w:rPr>
                <w:rStyle w:val="fontstyle21"/>
                <w:color w:val="auto"/>
              </w:rPr>
              <w:t>іх</w:t>
            </w:r>
            <w:proofErr w:type="spellEnd"/>
            <w:r w:rsidRPr="009F7C98">
              <w:rPr>
                <w:rStyle w:val="fontstyle21"/>
                <w:color w:val="auto"/>
              </w:rPr>
              <w:t xml:space="preserve"> споживачів</w:t>
            </w:r>
          </w:p>
        </w:tc>
        <w:tc>
          <w:tcPr>
            <w:tcW w:w="2834" w:type="dxa"/>
            <w:gridSpan w:val="2"/>
          </w:tcPr>
          <w:p w:rsidR="00BA252F" w:rsidRDefault="00BA252F" w:rsidP="00BA2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20,29</w:t>
            </w:r>
          </w:p>
        </w:tc>
      </w:tr>
    </w:tbl>
    <w:p w:rsidR="003D17E1" w:rsidRDefault="003D17E1" w:rsidP="003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D17E1" w:rsidRPr="003D17E1" w:rsidRDefault="003D17E1" w:rsidP="003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1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 з централізованого водопостачання 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E35E71" w:rsidRPr="00EE0807" w:rsidRDefault="00E35E71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</w:pPr>
    </w:p>
    <w:p w:rsidR="00925713" w:rsidRPr="00925713" w:rsidRDefault="00F80AE8" w:rsidP="00E35E71">
      <w:pPr>
        <w:spacing w:after="0" w:line="240" w:lineRule="auto"/>
        <w:ind w:firstLine="708"/>
        <w:jc w:val="both"/>
        <w:rPr>
          <w:color w:val="FF0000"/>
          <w:lang w:val="uk-UA"/>
        </w:rPr>
      </w:pPr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Зауваження та пропозиції щодо планових тарифів на 202</w:t>
      </w:r>
      <w:r w:rsidRPr="00F80A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рік від фізичних та юридичних осіб приймаються у письмовому вигляді протягом 7 календарних днів з дня опублікування наміру про зміну тарифу за </w:t>
      </w:r>
      <w:proofErr w:type="spellStart"/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адресою</w:t>
      </w:r>
      <w:proofErr w:type="spellEnd"/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E35E71" w:rsidRPr="00E35E71">
        <w:rPr>
          <w:rFonts w:ascii="Times New Roman" w:hAnsi="Times New Roman" w:cs="Times New Roman"/>
          <w:i/>
          <w:sz w:val="28"/>
          <w:szCs w:val="28"/>
          <w:lang w:val="uk-UA"/>
        </w:rPr>
        <w:t>вул. Центральна, 51,</w:t>
      </w:r>
      <w:r w:rsidR="007F1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E35E71" w:rsidRPr="00E35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Троїцьке,  Новгород – Сіверський р-н, Чернігівська обл., 16060, тел.</w:t>
      </w:r>
      <w:r w:rsidR="00E35E71">
        <w:rPr>
          <w:rFonts w:ascii="Times New Roman" w:hAnsi="Times New Roman" w:cs="Times New Roman"/>
          <w:i/>
          <w:sz w:val="28"/>
          <w:szCs w:val="28"/>
          <w:lang w:val="uk-UA"/>
        </w:rPr>
        <w:t>04658</w:t>
      </w:r>
      <w:r w:rsidR="00E35E71" w:rsidRPr="00E35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35147</w:t>
      </w:r>
      <w:r w:rsidR="00E35E7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925713" w:rsidRPr="00925713" w:rsidSect="00A1690F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7"/>
    <w:rsid w:val="000A4FA9"/>
    <w:rsid w:val="000C6A53"/>
    <w:rsid w:val="002122F0"/>
    <w:rsid w:val="0027262C"/>
    <w:rsid w:val="003D17E1"/>
    <w:rsid w:val="004C7625"/>
    <w:rsid w:val="00555BB8"/>
    <w:rsid w:val="006116E9"/>
    <w:rsid w:val="0074473D"/>
    <w:rsid w:val="007F197E"/>
    <w:rsid w:val="008D3511"/>
    <w:rsid w:val="00925713"/>
    <w:rsid w:val="009D071E"/>
    <w:rsid w:val="00A1690F"/>
    <w:rsid w:val="00BA252F"/>
    <w:rsid w:val="00BD3D23"/>
    <w:rsid w:val="00C95684"/>
    <w:rsid w:val="00D80377"/>
    <w:rsid w:val="00DC6786"/>
    <w:rsid w:val="00E01E87"/>
    <w:rsid w:val="00E11768"/>
    <w:rsid w:val="00E35E71"/>
    <w:rsid w:val="00EE0807"/>
    <w:rsid w:val="00F47A5A"/>
    <w:rsid w:val="00F505D8"/>
    <w:rsid w:val="00F55562"/>
    <w:rsid w:val="00F80AE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5896"/>
  <w15:chartTrackingRefBased/>
  <w15:docId w15:val="{018A77A3-E66D-46E0-86C1-2F15DFB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2021-12-16T09:21:00Z</cp:lastPrinted>
  <dcterms:created xsi:type="dcterms:W3CDTF">2021-12-14T15:13:00Z</dcterms:created>
  <dcterms:modified xsi:type="dcterms:W3CDTF">2021-12-23T08:51:00Z</dcterms:modified>
</cp:coreProperties>
</file>